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67"/>
        <w:gridCol w:w="5523"/>
      </w:tblGrid>
      <w:tr w:rsidR="00C4047C" w14:paraId="36B03FDB" w14:textId="77777777" w:rsidTr="00C4047C">
        <w:tc>
          <w:tcPr>
            <w:tcW w:w="2972" w:type="dxa"/>
          </w:tcPr>
          <w:p w14:paraId="48FF9DE1" w14:textId="77777777" w:rsidR="00C4047C" w:rsidRDefault="00C4047C" w:rsidP="00C4047C">
            <w:pPr>
              <w:jc w:val="center"/>
              <w:rPr>
                <w:b/>
                <w:bCs/>
              </w:rPr>
            </w:pPr>
            <w:r w:rsidRPr="00B90953">
              <w:rPr>
                <w:rFonts w:ascii="Fira Sans" w:hAnsi="Fira Sans" w:cs="Times New Roman"/>
                <w:noProof/>
                <w:sz w:val="32"/>
                <w:szCs w:val="36"/>
              </w:rPr>
              <w:drawing>
                <wp:inline distT="0" distB="0" distL="0" distR="0" wp14:anchorId="7A06AA76" wp14:editId="6CC67A95">
                  <wp:extent cx="1685538" cy="1476375"/>
                  <wp:effectExtent l="0" t="0" r="0" b="0"/>
                  <wp:docPr id="131523631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94648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1436" cy="1490300"/>
                          </a:xfrm>
                          <a:prstGeom prst="rect">
                            <a:avLst/>
                          </a:prstGeom>
                          <a:noFill/>
                          <a:ln>
                            <a:noFill/>
                          </a:ln>
                        </pic:spPr>
                      </pic:pic>
                    </a:graphicData>
                  </a:graphic>
                </wp:inline>
              </w:drawing>
            </w:r>
          </w:p>
          <w:p w14:paraId="54464FD2" w14:textId="26476CB2" w:rsidR="00C4047C" w:rsidRPr="00C4047C" w:rsidRDefault="00C4047C" w:rsidP="00C4047C">
            <w:pPr>
              <w:jc w:val="center"/>
              <w:rPr>
                <w:b/>
                <w:bCs/>
                <w:sz w:val="20"/>
                <w:szCs w:val="20"/>
              </w:rPr>
            </w:pPr>
            <w:r w:rsidRPr="00C4047C">
              <w:rPr>
                <w:rFonts w:ascii="Fira Sans" w:hAnsi="Fira Sans" w:cs="Times New Roman"/>
                <w:b/>
                <w:bCs/>
                <w:sz w:val="20"/>
                <w:szCs w:val="20"/>
              </w:rPr>
              <w:t>SECRETARIAT EXECUTIF</w:t>
            </w:r>
          </w:p>
        </w:tc>
        <w:tc>
          <w:tcPr>
            <w:tcW w:w="567" w:type="dxa"/>
          </w:tcPr>
          <w:p w14:paraId="28711637" w14:textId="77777777" w:rsidR="00C4047C" w:rsidRDefault="00C4047C" w:rsidP="00F9059E">
            <w:pPr>
              <w:rPr>
                <w:b/>
                <w:bCs/>
              </w:rPr>
            </w:pPr>
          </w:p>
        </w:tc>
        <w:tc>
          <w:tcPr>
            <w:tcW w:w="5523" w:type="dxa"/>
          </w:tcPr>
          <w:p w14:paraId="40CF4E08" w14:textId="77777777" w:rsidR="00C4047C" w:rsidRDefault="00C4047C" w:rsidP="00C4047C">
            <w:pPr>
              <w:jc w:val="center"/>
              <w:rPr>
                <w:rFonts w:ascii="Fira Sans" w:hAnsi="Fira Sans" w:cs="Times New Roman"/>
                <w:b/>
                <w:bCs/>
                <w:sz w:val="20"/>
                <w:szCs w:val="20"/>
              </w:rPr>
            </w:pPr>
            <w:r w:rsidRPr="00C4047C">
              <w:rPr>
                <w:rFonts w:ascii="Fira Sans" w:hAnsi="Fira Sans" w:cs="Times New Roman"/>
                <w:b/>
                <w:bCs/>
                <w:sz w:val="20"/>
                <w:szCs w:val="20"/>
              </w:rPr>
              <w:t xml:space="preserve">Programme des Nations Unies pour le </w:t>
            </w:r>
          </w:p>
          <w:p w14:paraId="156DF72D" w14:textId="4F4FBB3F" w:rsidR="00C4047C" w:rsidRDefault="00C4047C" w:rsidP="00C4047C">
            <w:pPr>
              <w:jc w:val="center"/>
              <w:rPr>
                <w:b/>
                <w:bCs/>
              </w:rPr>
            </w:pPr>
            <w:r w:rsidRPr="00C4047C">
              <w:rPr>
                <w:rFonts w:ascii="Fira Sans" w:hAnsi="Fira Sans" w:cs="Times New Roman"/>
                <w:b/>
                <w:bCs/>
                <w:sz w:val="20"/>
                <w:szCs w:val="20"/>
              </w:rPr>
              <w:t>Développement</w:t>
            </w:r>
          </w:p>
        </w:tc>
      </w:tr>
    </w:tbl>
    <w:p w14:paraId="2E45A70D" w14:textId="7B1DF4B8" w:rsidR="00C4047C" w:rsidRDefault="00C4047C" w:rsidP="00F9059E">
      <w:pPr>
        <w:rPr>
          <w:b/>
          <w:bCs/>
        </w:rPr>
      </w:pPr>
      <w:r w:rsidRPr="00C4047C">
        <w:rPr>
          <w:rFonts w:ascii="Fira Sans" w:hAnsi="Fira Sans" w:cs="Times New Roman"/>
          <w:b/>
          <w:bCs/>
          <w:sz w:val="20"/>
          <w:szCs w:val="20"/>
        </w:rPr>
        <w:object w:dxaOrig="1440" w:dyaOrig="1440" w14:anchorId="6C18B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12.15pt;margin-top:-129.3pt;width:41.5pt;height:72.5pt;z-index:251658240;visibility:visible;mso-wrap-edited:f;mso-position-horizontal-relative:text;mso-position-vertical-relative:text" wrapcoords="-257 0 -257 21436 21600 21436 21600 0 -257 0">
            <v:imagedata r:id="rId8" o:title=""/>
          </v:shape>
          <o:OLEObject Type="Embed" ProgID="Word.Picture.8" ShapeID="_x0000_s2050" DrawAspect="Content" ObjectID="_1829466492" r:id="rId9"/>
        </w:object>
      </w:r>
    </w:p>
    <w:p w14:paraId="7A8C4F14" w14:textId="77777777" w:rsidR="00C4047C" w:rsidRDefault="00C4047C" w:rsidP="00F9059E">
      <w:pPr>
        <w:rPr>
          <w:b/>
          <w:bCs/>
        </w:rPr>
      </w:pPr>
    </w:p>
    <w:p w14:paraId="0D87EB51" w14:textId="77777777" w:rsidR="00C4047C" w:rsidRDefault="00C4047C" w:rsidP="00F9059E">
      <w:pPr>
        <w:rPr>
          <w:b/>
          <w:bCs/>
        </w:rPr>
      </w:pPr>
    </w:p>
    <w:p w14:paraId="3F7A9B50" w14:textId="73C2A6DA" w:rsidR="00F9059E" w:rsidRPr="00F9059E" w:rsidRDefault="00F9059E" w:rsidP="004C6DE8">
      <w:pPr>
        <w:jc w:val="center"/>
        <w:rPr>
          <w:b/>
          <w:bCs/>
        </w:rPr>
      </w:pPr>
      <w:r w:rsidRPr="00F9059E">
        <w:rPr>
          <w:b/>
          <w:bCs/>
        </w:rPr>
        <w:t xml:space="preserve">Rapport </w:t>
      </w:r>
      <w:r w:rsidR="00C4047C">
        <w:rPr>
          <w:b/>
          <w:bCs/>
        </w:rPr>
        <w:t>Final</w:t>
      </w:r>
      <w:r w:rsidRPr="00F9059E">
        <w:rPr>
          <w:b/>
          <w:bCs/>
        </w:rPr>
        <w:t xml:space="preserve"> d’activités – </w:t>
      </w:r>
      <w:r w:rsidR="00C4047C">
        <w:rPr>
          <w:b/>
          <w:bCs/>
        </w:rPr>
        <w:t xml:space="preserve">Projet </w:t>
      </w:r>
      <w:r w:rsidRPr="00F9059E">
        <w:rPr>
          <w:b/>
          <w:bCs/>
        </w:rPr>
        <w:t>Appui PNUD à la mise en œuvre des Accords Multilatéraux sur l’Environnement (AEM) au Niger (2020–2025)</w:t>
      </w:r>
    </w:p>
    <w:p w14:paraId="7B5FBA78" w14:textId="77777777" w:rsidR="004C6DE8" w:rsidRDefault="004C6DE8">
      <w:pPr>
        <w:rPr>
          <w:b/>
          <w:bCs/>
        </w:rPr>
      </w:pPr>
      <w:r>
        <w:rPr>
          <w:b/>
          <w:bCs/>
        </w:rPr>
        <w:br w:type="page"/>
      </w:r>
    </w:p>
    <w:p w14:paraId="337B335D" w14:textId="2B47C510" w:rsidR="00F9059E" w:rsidRPr="00F9059E" w:rsidRDefault="00F9059E" w:rsidP="00F9059E">
      <w:pPr>
        <w:rPr>
          <w:rFonts w:ascii="Calibri" w:hAnsi="Calibri" w:cs="Calibri"/>
          <w:b/>
          <w:bCs/>
        </w:rPr>
      </w:pPr>
      <w:r w:rsidRPr="00F9059E">
        <w:rPr>
          <w:rFonts w:ascii="Calibri" w:hAnsi="Calibri" w:cs="Calibri"/>
          <w:b/>
          <w:bCs/>
        </w:rPr>
        <w:lastRenderedPageBreak/>
        <w:t>Introduction</w:t>
      </w:r>
    </w:p>
    <w:p w14:paraId="186E39B3" w14:textId="77777777" w:rsidR="00F9059E" w:rsidRPr="00F9059E" w:rsidRDefault="00F9059E" w:rsidP="00F9059E">
      <w:pPr>
        <w:rPr>
          <w:rFonts w:ascii="Calibri" w:hAnsi="Calibri" w:cs="Calibri"/>
        </w:rPr>
      </w:pPr>
      <w:r w:rsidRPr="00F9059E">
        <w:rPr>
          <w:rFonts w:ascii="Calibri" w:hAnsi="Calibri" w:cs="Calibri"/>
        </w:rPr>
        <w:t>Le Niger, pays sahélien exposé à de multiples défis climatiques, socio-économiques et sécuritaires, s’est engagé résolument dans la mise en œuvre des Accords Multilatéraux sur l’Environnement (AEM) et de sa Contribution Déterminée Nationale (CDN) révisée. Avec l’appui du Programme des Nations Unies pour le Développement (PNUD), plusieurs institutions nationales et régionales – la Direction Générale du Développement Durable et des Normes Environnementales (DGDDNE), la Commission Climat pour la Région Sahel (CCRS/CTO), et le Conseil National de l’Environnement pour un Développement Durable (CNEDD) – ont bénéficié d’un accompagnement structurant. Ce rapport agrège les activités réalisées et planifiées sur la période 2020–2025, en mettant en lumière la cohérence de l’appui, les résultats atteints et les perspectives.</w:t>
      </w:r>
    </w:p>
    <w:p w14:paraId="0A681E41" w14:textId="77777777" w:rsidR="00C4047C" w:rsidRPr="000235C8" w:rsidRDefault="00C4047C" w:rsidP="00F9059E">
      <w:pPr>
        <w:rPr>
          <w:rFonts w:ascii="Calibri" w:hAnsi="Calibri" w:cs="Calibri"/>
        </w:rPr>
      </w:pPr>
    </w:p>
    <w:p w14:paraId="6D2D67F4" w14:textId="1F473926" w:rsidR="00F9059E" w:rsidRPr="00F9059E" w:rsidRDefault="00F9059E" w:rsidP="00F9059E">
      <w:pPr>
        <w:rPr>
          <w:rFonts w:ascii="Calibri" w:hAnsi="Calibri" w:cs="Calibri"/>
          <w:b/>
          <w:bCs/>
        </w:rPr>
      </w:pPr>
      <w:r w:rsidRPr="00F9059E">
        <w:rPr>
          <w:rFonts w:ascii="Calibri" w:hAnsi="Calibri" w:cs="Calibri"/>
          <w:b/>
          <w:bCs/>
        </w:rPr>
        <w:t>Cadre stratégique et logique d’intervention</w:t>
      </w:r>
    </w:p>
    <w:p w14:paraId="01F9F0AF" w14:textId="77777777" w:rsidR="00F9059E" w:rsidRPr="00F9059E" w:rsidRDefault="00F9059E" w:rsidP="00F9059E">
      <w:pPr>
        <w:rPr>
          <w:rFonts w:ascii="Calibri" w:hAnsi="Calibri" w:cs="Calibri"/>
        </w:rPr>
      </w:pPr>
      <w:r w:rsidRPr="00F9059E">
        <w:rPr>
          <w:rFonts w:ascii="Calibri" w:hAnsi="Calibri" w:cs="Calibri"/>
        </w:rPr>
        <w:t>L’appui du PNUD s’inscrit dans une démarche intégrée visant à :</w:t>
      </w:r>
    </w:p>
    <w:p w14:paraId="6C93128F" w14:textId="77777777" w:rsidR="00F9059E" w:rsidRPr="00F9059E" w:rsidRDefault="00F9059E" w:rsidP="00F9059E">
      <w:pPr>
        <w:numPr>
          <w:ilvl w:val="0"/>
          <w:numId w:val="10"/>
        </w:numPr>
        <w:rPr>
          <w:rFonts w:ascii="Calibri" w:hAnsi="Calibri" w:cs="Calibri"/>
        </w:rPr>
      </w:pPr>
      <w:r w:rsidRPr="00F9059E">
        <w:rPr>
          <w:rFonts w:ascii="Calibri" w:hAnsi="Calibri" w:cs="Calibri"/>
        </w:rPr>
        <w:t>Renforcer la gouvernance climatique et la coordination institutionnelle ;</w:t>
      </w:r>
    </w:p>
    <w:p w14:paraId="613BDF80" w14:textId="77777777" w:rsidR="00F9059E" w:rsidRPr="00F9059E" w:rsidRDefault="00F9059E" w:rsidP="00F9059E">
      <w:pPr>
        <w:numPr>
          <w:ilvl w:val="0"/>
          <w:numId w:val="10"/>
        </w:numPr>
        <w:rPr>
          <w:rFonts w:ascii="Calibri" w:hAnsi="Calibri" w:cs="Calibri"/>
        </w:rPr>
      </w:pPr>
      <w:r w:rsidRPr="00F9059E">
        <w:rPr>
          <w:rFonts w:ascii="Calibri" w:hAnsi="Calibri" w:cs="Calibri"/>
        </w:rPr>
        <w:t>Soutenir la planification bas carbone et l’alignement sur l’Accord de Paris ;</w:t>
      </w:r>
    </w:p>
    <w:p w14:paraId="50FA2377" w14:textId="77777777" w:rsidR="00F9059E" w:rsidRPr="00F9059E" w:rsidRDefault="00F9059E" w:rsidP="00F9059E">
      <w:pPr>
        <w:numPr>
          <w:ilvl w:val="0"/>
          <w:numId w:val="10"/>
        </w:numPr>
        <w:rPr>
          <w:rFonts w:ascii="Calibri" w:hAnsi="Calibri" w:cs="Calibri"/>
        </w:rPr>
      </w:pPr>
      <w:r w:rsidRPr="00F9059E">
        <w:rPr>
          <w:rFonts w:ascii="Calibri" w:hAnsi="Calibri" w:cs="Calibri"/>
        </w:rPr>
        <w:t>Promouvoir la transparence et le suivi-évaluation (MRV/SN-MNV) ;</w:t>
      </w:r>
    </w:p>
    <w:p w14:paraId="272F70A3" w14:textId="77777777" w:rsidR="00F9059E" w:rsidRPr="00F9059E" w:rsidRDefault="00F9059E" w:rsidP="00F9059E">
      <w:pPr>
        <w:numPr>
          <w:ilvl w:val="0"/>
          <w:numId w:val="10"/>
        </w:numPr>
        <w:rPr>
          <w:rFonts w:ascii="Calibri" w:hAnsi="Calibri" w:cs="Calibri"/>
        </w:rPr>
      </w:pPr>
      <w:r w:rsidRPr="00F9059E">
        <w:rPr>
          <w:rFonts w:ascii="Calibri" w:hAnsi="Calibri" w:cs="Calibri"/>
        </w:rPr>
        <w:t>Diffuser et capitaliser les bonnes pratiques d’adaptation et d’atténuation ;</w:t>
      </w:r>
    </w:p>
    <w:p w14:paraId="6200DFF9" w14:textId="77777777" w:rsidR="00F9059E" w:rsidRPr="00F9059E" w:rsidRDefault="00F9059E" w:rsidP="00F9059E">
      <w:pPr>
        <w:numPr>
          <w:ilvl w:val="0"/>
          <w:numId w:val="10"/>
        </w:numPr>
        <w:rPr>
          <w:rFonts w:ascii="Calibri" w:hAnsi="Calibri" w:cs="Calibri"/>
        </w:rPr>
      </w:pPr>
      <w:r w:rsidRPr="00F9059E">
        <w:rPr>
          <w:rFonts w:ascii="Calibri" w:hAnsi="Calibri" w:cs="Calibri"/>
        </w:rPr>
        <w:t>Mobiliser les ressources et impliquer l’ensemble des parties prenantes (OSC, secteur privé, communautés, femmes et jeunes).</w:t>
      </w:r>
    </w:p>
    <w:p w14:paraId="569D4D97" w14:textId="77777777" w:rsidR="00F9059E" w:rsidRPr="00F9059E" w:rsidRDefault="00F9059E" w:rsidP="00F9059E">
      <w:pPr>
        <w:rPr>
          <w:rFonts w:ascii="Calibri" w:hAnsi="Calibri" w:cs="Calibri"/>
        </w:rPr>
      </w:pPr>
      <w:r w:rsidRPr="00F9059E">
        <w:rPr>
          <w:rFonts w:ascii="Calibri" w:hAnsi="Calibri" w:cs="Calibri"/>
        </w:rPr>
        <w:pict w14:anchorId="45C7956D">
          <v:rect id="_x0000_i1195" style="width:0;height:1.5pt" o:hralign="center" o:hrstd="t" o:hr="t" fillcolor="#a0a0a0" stroked="f"/>
        </w:pict>
      </w:r>
    </w:p>
    <w:p w14:paraId="6BB6768A" w14:textId="77777777" w:rsidR="00F9059E" w:rsidRPr="00F9059E" w:rsidRDefault="00F9059E" w:rsidP="00F9059E">
      <w:pPr>
        <w:rPr>
          <w:rFonts w:ascii="Calibri" w:hAnsi="Calibri" w:cs="Calibri"/>
          <w:b/>
          <w:bCs/>
        </w:rPr>
      </w:pPr>
      <w:r w:rsidRPr="00F9059E">
        <w:rPr>
          <w:rFonts w:ascii="Calibri" w:hAnsi="Calibri" w:cs="Calibri"/>
          <w:b/>
          <w:bCs/>
        </w:rPr>
        <w:t>Axes d’intervention et résultats consolidés</w:t>
      </w:r>
    </w:p>
    <w:p w14:paraId="51EE806C" w14:textId="77777777" w:rsidR="00F9059E" w:rsidRPr="00F9059E" w:rsidRDefault="00F9059E" w:rsidP="00F9059E">
      <w:pPr>
        <w:rPr>
          <w:rFonts w:ascii="Calibri" w:hAnsi="Calibri" w:cs="Calibri"/>
          <w:b/>
          <w:bCs/>
        </w:rPr>
      </w:pPr>
      <w:r w:rsidRPr="00F9059E">
        <w:rPr>
          <w:rFonts w:ascii="Calibri" w:hAnsi="Calibri" w:cs="Calibri"/>
          <w:b/>
          <w:bCs/>
        </w:rPr>
        <w:t>Gouvernance, coordination et capacités institutionnelles</w:t>
      </w:r>
    </w:p>
    <w:p w14:paraId="45C1857A" w14:textId="77777777" w:rsidR="00F9059E" w:rsidRPr="00F9059E" w:rsidRDefault="00F9059E" w:rsidP="00F9059E">
      <w:pPr>
        <w:rPr>
          <w:rFonts w:ascii="Calibri" w:hAnsi="Calibri" w:cs="Calibri"/>
        </w:rPr>
      </w:pPr>
      <w:r w:rsidRPr="00F9059E">
        <w:rPr>
          <w:rFonts w:ascii="Calibri" w:hAnsi="Calibri" w:cs="Calibri"/>
        </w:rPr>
        <w:t>L’appui a permis d’organiser des campagnes de sensibilisation, des ateliers de renforcement de capacités et l’élaboration de stratégies institutionnelles pour l’intégration des AEM dans les politiques nationales et sectorielles. La CCRS/CTO a bénéficié de la mise en place d’une équipe technique, de l’acquisition d’équipements et de l’organisation de réunions techniques et politiques, contribuant à la structuration du Fonds Climat pour la résilience du Sahel et à la coordination régionale. Le CNEDD a renforcé la gouvernance et les mécanismes de financement inclusifs et sensibles au genre, tout en assurant la formalisation et l’opérationnalisation du Système National de Mesure, Notification et Vérification (SN-MNV) et la gestion du projet.</w:t>
      </w:r>
    </w:p>
    <w:p w14:paraId="2C2A75C9" w14:textId="4814E48A" w:rsidR="00F9059E" w:rsidRPr="00F9059E" w:rsidRDefault="00F9059E" w:rsidP="00F9059E">
      <w:pPr>
        <w:rPr>
          <w:rFonts w:ascii="Calibri" w:hAnsi="Calibri" w:cs="Calibri"/>
        </w:rPr>
      </w:pPr>
      <w:r w:rsidRPr="00F9059E">
        <w:rPr>
          <w:rFonts w:ascii="Calibri" w:hAnsi="Calibri" w:cs="Calibri"/>
          <w:b/>
          <w:bCs/>
        </w:rPr>
        <w:lastRenderedPageBreak/>
        <w:t>Résultats</w:t>
      </w:r>
      <w:r w:rsidR="00C4047C" w:rsidRPr="000235C8">
        <w:rPr>
          <w:rFonts w:ascii="Calibri" w:hAnsi="Calibri" w:cs="Calibri"/>
          <w:b/>
          <w:bCs/>
        </w:rPr>
        <w:t xml:space="preserve"> </w:t>
      </w:r>
      <w:r w:rsidRPr="00F9059E">
        <w:rPr>
          <w:rFonts w:ascii="Calibri" w:hAnsi="Calibri" w:cs="Calibri"/>
        </w:rPr>
        <w:t xml:space="preserve">: </w:t>
      </w:r>
      <w:r w:rsidR="00C4047C" w:rsidRPr="000235C8">
        <w:rPr>
          <w:rFonts w:ascii="Calibri" w:hAnsi="Calibri" w:cs="Calibri"/>
        </w:rPr>
        <w:t>A ce jour le Niger dispose d’</w:t>
      </w:r>
      <w:r w:rsidRPr="00F9059E">
        <w:rPr>
          <w:rFonts w:ascii="Calibri" w:hAnsi="Calibri" w:cs="Calibri"/>
        </w:rPr>
        <w:t xml:space="preserve">institutions et mécanismes de coordination </w:t>
      </w:r>
      <w:r w:rsidR="00C4047C" w:rsidRPr="000235C8">
        <w:rPr>
          <w:rFonts w:ascii="Calibri" w:hAnsi="Calibri" w:cs="Calibri"/>
        </w:rPr>
        <w:t xml:space="preserve">plus </w:t>
      </w:r>
      <w:r w:rsidRPr="00F9059E">
        <w:rPr>
          <w:rFonts w:ascii="Calibri" w:hAnsi="Calibri" w:cs="Calibri"/>
        </w:rPr>
        <w:t xml:space="preserve">opérationnels, des acteurs clés sensibilisés, des outils méthodologiques et stratégiques disponibles, et un </w:t>
      </w:r>
      <w:proofErr w:type="spellStart"/>
      <w:r w:rsidRPr="00F9059E">
        <w:rPr>
          <w:rFonts w:ascii="Calibri" w:hAnsi="Calibri" w:cs="Calibri"/>
        </w:rPr>
        <w:t>reporting</w:t>
      </w:r>
      <w:proofErr w:type="spellEnd"/>
      <w:r w:rsidRPr="00F9059E">
        <w:rPr>
          <w:rFonts w:ascii="Calibri" w:hAnsi="Calibri" w:cs="Calibri"/>
        </w:rPr>
        <w:t xml:space="preserve"> régulier.</w:t>
      </w:r>
    </w:p>
    <w:p w14:paraId="73F5590A" w14:textId="77777777" w:rsidR="00F9059E" w:rsidRPr="00F9059E" w:rsidRDefault="00F9059E" w:rsidP="00F9059E">
      <w:pPr>
        <w:rPr>
          <w:rFonts w:ascii="Calibri" w:hAnsi="Calibri" w:cs="Calibri"/>
          <w:b/>
          <w:bCs/>
        </w:rPr>
      </w:pPr>
      <w:r w:rsidRPr="00F9059E">
        <w:rPr>
          <w:rFonts w:ascii="Calibri" w:hAnsi="Calibri" w:cs="Calibri"/>
          <w:b/>
          <w:bCs/>
        </w:rPr>
        <w:t>Planification bas carbone et alignement sur l’Accord de Paris</w:t>
      </w:r>
    </w:p>
    <w:p w14:paraId="2665B73E" w14:textId="77777777" w:rsidR="00F9059E" w:rsidRPr="00F9059E" w:rsidRDefault="00F9059E" w:rsidP="00F9059E">
      <w:pPr>
        <w:rPr>
          <w:rFonts w:ascii="Calibri" w:hAnsi="Calibri" w:cs="Calibri"/>
        </w:rPr>
      </w:pPr>
      <w:r w:rsidRPr="00F9059E">
        <w:rPr>
          <w:rFonts w:ascii="Calibri" w:hAnsi="Calibri" w:cs="Calibri"/>
        </w:rPr>
        <w:t>Les partenaires ont travaillé à la révision des objectifs de la CDN, à l’élaboration de feuilles de route sectorielles (AFOLU), à la réalisation d’études de vulnérabilité et d’adaptation, ainsi qu’à la révision du Plan d’Investissement Climat pour la Région du Sahel (PIC-RS). Le CNEDD a mené l’évaluation des impacts des émissions, l’état des lieux sectoriel, le développement d’un plan d’action bas carbone, l’identification et la priorisation des options d’atténuation, l’analyse coût-bénéfice et l’élaboration du document de stratégie nationale bas carbone (SNBC).</w:t>
      </w:r>
    </w:p>
    <w:p w14:paraId="27337A80" w14:textId="506C79C9" w:rsidR="00F9059E" w:rsidRPr="00F9059E" w:rsidRDefault="00F9059E" w:rsidP="00F9059E">
      <w:pPr>
        <w:rPr>
          <w:rFonts w:ascii="Calibri" w:hAnsi="Calibri" w:cs="Calibri"/>
        </w:rPr>
      </w:pPr>
      <w:proofErr w:type="gramStart"/>
      <w:r w:rsidRPr="00F9059E">
        <w:rPr>
          <w:rFonts w:ascii="Calibri" w:hAnsi="Calibri" w:cs="Calibri"/>
          <w:b/>
          <w:bCs/>
        </w:rPr>
        <w:t>Résultats</w:t>
      </w:r>
      <w:r w:rsidRPr="00F9059E">
        <w:rPr>
          <w:rFonts w:ascii="Calibri" w:hAnsi="Calibri" w:cs="Calibri"/>
        </w:rPr>
        <w:t>:</w:t>
      </w:r>
      <w:proofErr w:type="gramEnd"/>
      <w:r w:rsidRPr="00F9059E">
        <w:rPr>
          <w:rFonts w:ascii="Calibri" w:hAnsi="Calibri" w:cs="Calibri"/>
        </w:rPr>
        <w:t xml:space="preserve"> Des objectifs d’atténuation et d’adaptation actualisés, des plans sectoriels et régionaux consolidés, une trajectoire bas carbone définie et un alignement sur la CDN et l’Accord de Paris.</w:t>
      </w:r>
    </w:p>
    <w:p w14:paraId="7CEF4415" w14:textId="77777777" w:rsidR="00F9059E" w:rsidRPr="00F9059E" w:rsidRDefault="00F9059E" w:rsidP="00F9059E">
      <w:pPr>
        <w:rPr>
          <w:rFonts w:ascii="Calibri" w:hAnsi="Calibri" w:cs="Calibri"/>
          <w:b/>
          <w:bCs/>
        </w:rPr>
      </w:pPr>
      <w:r w:rsidRPr="00F9059E">
        <w:rPr>
          <w:rFonts w:ascii="Calibri" w:hAnsi="Calibri" w:cs="Calibri"/>
          <w:b/>
          <w:bCs/>
        </w:rPr>
        <w:t>Transparence, MRV et capitalisation</w:t>
      </w:r>
    </w:p>
    <w:p w14:paraId="0213D3B1" w14:textId="77777777" w:rsidR="00F9059E" w:rsidRPr="00F9059E" w:rsidRDefault="00F9059E" w:rsidP="00F9059E">
      <w:pPr>
        <w:rPr>
          <w:rFonts w:ascii="Calibri" w:hAnsi="Calibri" w:cs="Calibri"/>
        </w:rPr>
      </w:pPr>
      <w:r w:rsidRPr="00F9059E">
        <w:rPr>
          <w:rFonts w:ascii="Calibri" w:hAnsi="Calibri" w:cs="Calibri"/>
        </w:rPr>
        <w:t>L’appui a permis la collecte de données GES, l’élargissement des inventaires, la préparation de protocoles d’échange de données et la mise en place d’un système MRV pour le secteur énergie. La CCRS/CTO a assuré le suivi-évaluation régional, le rapportage technique et financier, et la coordination logistique. Le CNEDD a formalisé le SN-MNV, établi la situation de référence des indicateurs, mis à jour le Rapport d’Inventaire National (RIN) et organisé des ateliers de formation et de validation.</w:t>
      </w:r>
    </w:p>
    <w:p w14:paraId="4DACDCBB" w14:textId="1320B840" w:rsidR="00F9059E" w:rsidRPr="00F9059E" w:rsidRDefault="00F9059E" w:rsidP="00F9059E">
      <w:pPr>
        <w:rPr>
          <w:rFonts w:ascii="Calibri" w:hAnsi="Calibri" w:cs="Calibri"/>
        </w:rPr>
      </w:pPr>
      <w:r w:rsidRPr="00F9059E">
        <w:rPr>
          <w:rFonts w:ascii="Calibri" w:hAnsi="Calibri" w:cs="Calibri"/>
          <w:b/>
          <w:bCs/>
        </w:rPr>
        <w:t>Résultats</w:t>
      </w:r>
      <w:r w:rsidR="00C4047C" w:rsidRPr="000235C8">
        <w:rPr>
          <w:rFonts w:ascii="Calibri" w:hAnsi="Calibri" w:cs="Calibri"/>
          <w:b/>
          <w:bCs/>
        </w:rPr>
        <w:t xml:space="preserve"> </w:t>
      </w:r>
      <w:r w:rsidRPr="00F9059E">
        <w:rPr>
          <w:rFonts w:ascii="Calibri" w:hAnsi="Calibri" w:cs="Calibri"/>
        </w:rPr>
        <w:t xml:space="preserve">: </w:t>
      </w:r>
      <w:r w:rsidR="00C4047C" w:rsidRPr="000235C8">
        <w:rPr>
          <w:rFonts w:ascii="Calibri" w:hAnsi="Calibri" w:cs="Calibri"/>
        </w:rPr>
        <w:t xml:space="preserve">Le gouvernement </w:t>
      </w:r>
      <w:r w:rsidR="008F0701" w:rsidRPr="000235C8">
        <w:rPr>
          <w:rFonts w:ascii="Calibri" w:hAnsi="Calibri" w:cs="Calibri"/>
        </w:rPr>
        <w:t>a à sa disposition u</w:t>
      </w:r>
      <w:r w:rsidRPr="00F9059E">
        <w:rPr>
          <w:rFonts w:ascii="Calibri" w:hAnsi="Calibri" w:cs="Calibri"/>
        </w:rPr>
        <w:t xml:space="preserve">n système MRV/SN-MNV opérationnel, des indicateurs caractérisés, une transparence renforcée et un </w:t>
      </w:r>
      <w:proofErr w:type="spellStart"/>
      <w:r w:rsidRPr="00F9059E">
        <w:rPr>
          <w:rFonts w:ascii="Calibri" w:hAnsi="Calibri" w:cs="Calibri"/>
        </w:rPr>
        <w:t>reporting</w:t>
      </w:r>
      <w:proofErr w:type="spellEnd"/>
      <w:r w:rsidRPr="00F9059E">
        <w:rPr>
          <w:rFonts w:ascii="Calibri" w:hAnsi="Calibri" w:cs="Calibri"/>
        </w:rPr>
        <w:t xml:space="preserve"> consolidé.</w:t>
      </w:r>
    </w:p>
    <w:p w14:paraId="7B9CCAF3" w14:textId="77777777" w:rsidR="00F9059E" w:rsidRPr="00F9059E" w:rsidRDefault="00F9059E" w:rsidP="00F9059E">
      <w:pPr>
        <w:rPr>
          <w:rFonts w:ascii="Calibri" w:hAnsi="Calibri" w:cs="Calibri"/>
          <w:b/>
          <w:bCs/>
        </w:rPr>
      </w:pPr>
      <w:r w:rsidRPr="00F9059E">
        <w:rPr>
          <w:rFonts w:ascii="Calibri" w:hAnsi="Calibri" w:cs="Calibri"/>
          <w:b/>
          <w:bCs/>
        </w:rPr>
        <w:t>Vulgarisation, formation et inclusion</w:t>
      </w:r>
    </w:p>
    <w:p w14:paraId="4922B507" w14:textId="77777777" w:rsidR="00F9059E" w:rsidRPr="00F9059E" w:rsidRDefault="00F9059E" w:rsidP="00F9059E">
      <w:pPr>
        <w:rPr>
          <w:rFonts w:ascii="Calibri" w:hAnsi="Calibri" w:cs="Calibri"/>
        </w:rPr>
      </w:pPr>
      <w:r w:rsidRPr="00F9059E">
        <w:rPr>
          <w:rFonts w:ascii="Calibri" w:hAnsi="Calibri" w:cs="Calibri"/>
        </w:rPr>
        <w:t>Les partenaires ont développé et mis en œuvre des programmes de communication sur les AEM, diffusé les bonnes pratiques et capitalisé les expériences. Des ateliers de formation, des missions de plaidoyer et la participation aux COP et forums internationaux ont été organisés. Le CNEDD a diffusé la Quatrième Communication Nationale (QCN), organisé des ateliers pour les groupes vulnérables (genre, jeunes, personnes handicapées) et opérationnalisé la Plateforme Nationale Science-Politique (PNSP/CCASAN).</w:t>
      </w:r>
    </w:p>
    <w:p w14:paraId="5387A4FC" w14:textId="134E28F2" w:rsidR="00F9059E" w:rsidRPr="00F9059E" w:rsidRDefault="00F9059E" w:rsidP="00F9059E">
      <w:pPr>
        <w:rPr>
          <w:rFonts w:ascii="Calibri" w:hAnsi="Calibri" w:cs="Calibri"/>
        </w:rPr>
      </w:pPr>
      <w:proofErr w:type="gramStart"/>
      <w:r w:rsidRPr="00F9059E">
        <w:rPr>
          <w:rFonts w:ascii="Calibri" w:hAnsi="Calibri" w:cs="Calibri"/>
          <w:b/>
          <w:bCs/>
        </w:rPr>
        <w:t>Résultats</w:t>
      </w:r>
      <w:r w:rsidRPr="00F9059E">
        <w:rPr>
          <w:rFonts w:ascii="Calibri" w:hAnsi="Calibri" w:cs="Calibri"/>
        </w:rPr>
        <w:t>:</w:t>
      </w:r>
      <w:proofErr w:type="gramEnd"/>
      <w:r w:rsidRPr="00F9059E">
        <w:rPr>
          <w:rFonts w:ascii="Calibri" w:hAnsi="Calibri" w:cs="Calibri"/>
        </w:rPr>
        <w:t xml:space="preserve"> Des parties prenantes formées et impliquées, des outils et résultats diffusés, une inclusion renforcée.</w:t>
      </w:r>
    </w:p>
    <w:p w14:paraId="15D1306A" w14:textId="77777777" w:rsidR="00F9059E" w:rsidRPr="00F9059E" w:rsidRDefault="00F9059E" w:rsidP="00F9059E">
      <w:pPr>
        <w:rPr>
          <w:rFonts w:ascii="Calibri" w:hAnsi="Calibri" w:cs="Calibri"/>
          <w:b/>
          <w:bCs/>
        </w:rPr>
      </w:pPr>
      <w:r w:rsidRPr="00F9059E">
        <w:rPr>
          <w:rFonts w:ascii="Calibri" w:hAnsi="Calibri" w:cs="Calibri"/>
          <w:b/>
          <w:bCs/>
        </w:rPr>
        <w:t>Actions pilotes et résilience locale</w:t>
      </w:r>
    </w:p>
    <w:p w14:paraId="153B1652" w14:textId="77777777" w:rsidR="00F9059E" w:rsidRPr="00F9059E" w:rsidRDefault="00F9059E" w:rsidP="00F9059E">
      <w:pPr>
        <w:rPr>
          <w:rFonts w:ascii="Calibri" w:hAnsi="Calibri" w:cs="Calibri"/>
        </w:rPr>
      </w:pPr>
      <w:r w:rsidRPr="00F9059E">
        <w:rPr>
          <w:rFonts w:ascii="Calibri" w:hAnsi="Calibri" w:cs="Calibri"/>
        </w:rPr>
        <w:t xml:space="preserve">La CCRS/CTO a mis en œuvre la composante Niger du projet de renforcement de la résilience des populations dans les zones de conflits au Sahel, ciblant particulièrement les femmes et </w:t>
      </w:r>
      <w:r w:rsidRPr="00F9059E">
        <w:rPr>
          <w:rFonts w:ascii="Calibri" w:hAnsi="Calibri" w:cs="Calibri"/>
        </w:rPr>
        <w:lastRenderedPageBreak/>
        <w:t>jeunes producteurs agricoles. Le CNEDD a appuyé la mise en œuvre du Plan National d’Adaptation (PNA), la mobilisation de ressources et la préparation de notes conceptuelles.</w:t>
      </w:r>
    </w:p>
    <w:p w14:paraId="16D40A07" w14:textId="77C4EAD9" w:rsidR="00F9059E" w:rsidRPr="00F9059E" w:rsidRDefault="00F9059E" w:rsidP="00F9059E">
      <w:pPr>
        <w:rPr>
          <w:rFonts w:ascii="Calibri" w:hAnsi="Calibri" w:cs="Calibri"/>
        </w:rPr>
      </w:pPr>
      <w:r w:rsidRPr="00F9059E">
        <w:rPr>
          <w:rFonts w:ascii="Calibri" w:hAnsi="Calibri" w:cs="Calibri"/>
          <w:b/>
          <w:bCs/>
        </w:rPr>
        <w:t>Résultats</w:t>
      </w:r>
      <w:r w:rsidR="008F0701" w:rsidRPr="000235C8">
        <w:rPr>
          <w:rFonts w:ascii="Calibri" w:hAnsi="Calibri" w:cs="Calibri"/>
          <w:b/>
          <w:bCs/>
        </w:rPr>
        <w:t xml:space="preserve"> </w:t>
      </w:r>
      <w:r w:rsidRPr="00F9059E">
        <w:rPr>
          <w:rFonts w:ascii="Calibri" w:hAnsi="Calibri" w:cs="Calibri"/>
        </w:rPr>
        <w:t>: Une résilience accrue des groupes vulnérables et la capitalisation des expériences locales.</w:t>
      </w:r>
    </w:p>
    <w:p w14:paraId="6AB185B9" w14:textId="40B90553" w:rsidR="00F9059E" w:rsidRPr="00F9059E" w:rsidRDefault="00F9059E" w:rsidP="00F9059E">
      <w:pPr>
        <w:rPr>
          <w:rFonts w:ascii="Calibri" w:hAnsi="Calibri" w:cs="Calibri"/>
          <w:b/>
          <w:bCs/>
        </w:rPr>
      </w:pPr>
      <w:r w:rsidRPr="00F9059E">
        <w:rPr>
          <w:rFonts w:ascii="Calibri" w:hAnsi="Calibri" w:cs="Calibri"/>
          <w:b/>
          <w:bCs/>
        </w:rPr>
        <w:t>Budget et planification</w:t>
      </w:r>
    </w:p>
    <w:p w14:paraId="3763FBE0" w14:textId="77777777" w:rsidR="00F9059E" w:rsidRPr="00F9059E" w:rsidRDefault="00F9059E" w:rsidP="00F9059E">
      <w:pPr>
        <w:rPr>
          <w:rFonts w:ascii="Calibri" w:hAnsi="Calibri" w:cs="Calibri"/>
        </w:rPr>
      </w:pPr>
      <w:r w:rsidRPr="00F9059E">
        <w:rPr>
          <w:rFonts w:ascii="Calibri" w:hAnsi="Calibri" w:cs="Calibri"/>
        </w:rPr>
        <w:t>Les budgets alloués par le PNUD et ses partenaires ont permis de financer l’ensemble des activités planifiées, avec des enveloppes annuelles spécifiques pour chaque partenaire. Les activités ont été séquencées sur la période 2020–2025, avec des bilans annuels et une clôture administrative prévue en décembre 2025.</w:t>
      </w:r>
    </w:p>
    <w:p w14:paraId="6F0AFF86" w14:textId="56097828" w:rsidR="00F9059E" w:rsidRPr="00F9059E" w:rsidRDefault="00F9059E" w:rsidP="00F9059E">
      <w:pPr>
        <w:rPr>
          <w:rFonts w:ascii="Calibri" w:hAnsi="Calibri" w:cs="Calibri"/>
          <w:b/>
          <w:bCs/>
        </w:rPr>
      </w:pPr>
      <w:r w:rsidRPr="00F9059E">
        <w:rPr>
          <w:rFonts w:ascii="Calibri" w:hAnsi="Calibri" w:cs="Calibri"/>
          <w:b/>
          <w:bCs/>
        </w:rPr>
        <w:t>Leçons apprises</w:t>
      </w:r>
    </w:p>
    <w:p w14:paraId="13F9B051" w14:textId="77777777" w:rsidR="00F9059E" w:rsidRPr="00F9059E" w:rsidRDefault="00F9059E" w:rsidP="00F9059E">
      <w:pPr>
        <w:rPr>
          <w:rFonts w:ascii="Calibri" w:hAnsi="Calibri" w:cs="Calibri"/>
        </w:rPr>
      </w:pPr>
      <w:r w:rsidRPr="00F9059E">
        <w:rPr>
          <w:rFonts w:ascii="Calibri" w:hAnsi="Calibri" w:cs="Calibri"/>
        </w:rPr>
        <w:t>L’expérience de mise en œuvre conjointe des AEM au Niger a permis de dégager plusieurs enseignements majeurs :</w:t>
      </w:r>
    </w:p>
    <w:p w14:paraId="6CEDD7FC" w14:textId="77777777" w:rsidR="00F9059E" w:rsidRPr="00F9059E" w:rsidRDefault="00F9059E" w:rsidP="00F9059E">
      <w:pPr>
        <w:numPr>
          <w:ilvl w:val="0"/>
          <w:numId w:val="11"/>
        </w:numPr>
        <w:rPr>
          <w:rFonts w:ascii="Calibri" w:hAnsi="Calibri" w:cs="Calibri"/>
        </w:rPr>
      </w:pPr>
      <w:r w:rsidRPr="00F9059E">
        <w:rPr>
          <w:rFonts w:ascii="Calibri" w:hAnsi="Calibri" w:cs="Calibri"/>
          <w:b/>
          <w:bCs/>
        </w:rPr>
        <w:t>Importance de la coordination institutionnelle</w:t>
      </w:r>
      <w:r w:rsidRPr="00F9059E">
        <w:rPr>
          <w:rFonts w:ascii="Calibri" w:hAnsi="Calibri" w:cs="Calibri"/>
        </w:rPr>
        <w:t> : La réussite des activités dépend fortement de la synergie entre les différentes structures nationales et régionales, ainsi que de la clarté des rôles et responsabilités.</w:t>
      </w:r>
    </w:p>
    <w:p w14:paraId="7B83C01A" w14:textId="77777777" w:rsidR="00F9059E" w:rsidRPr="00F9059E" w:rsidRDefault="00F9059E" w:rsidP="00F9059E">
      <w:pPr>
        <w:numPr>
          <w:ilvl w:val="0"/>
          <w:numId w:val="11"/>
        </w:numPr>
        <w:rPr>
          <w:rFonts w:ascii="Calibri" w:hAnsi="Calibri" w:cs="Calibri"/>
        </w:rPr>
      </w:pPr>
      <w:r w:rsidRPr="00F9059E">
        <w:rPr>
          <w:rFonts w:ascii="Calibri" w:hAnsi="Calibri" w:cs="Calibri"/>
          <w:b/>
          <w:bCs/>
        </w:rPr>
        <w:t>Nécessité d’une planification flexible et adaptée</w:t>
      </w:r>
      <w:r w:rsidRPr="00F9059E">
        <w:rPr>
          <w:rFonts w:ascii="Calibri" w:hAnsi="Calibri" w:cs="Calibri"/>
        </w:rPr>
        <w:t> : Les contextes changeants (sécurité, pandémie, évolutions politiques) exigent une capacité d’adaptation rapide des plans de travail et des priorités.</w:t>
      </w:r>
    </w:p>
    <w:p w14:paraId="086D9278" w14:textId="77777777" w:rsidR="00F9059E" w:rsidRPr="00F9059E" w:rsidRDefault="00F9059E" w:rsidP="00F9059E">
      <w:pPr>
        <w:numPr>
          <w:ilvl w:val="0"/>
          <w:numId w:val="11"/>
        </w:numPr>
        <w:rPr>
          <w:rFonts w:ascii="Calibri" w:hAnsi="Calibri" w:cs="Calibri"/>
        </w:rPr>
      </w:pPr>
      <w:r w:rsidRPr="00F9059E">
        <w:rPr>
          <w:rFonts w:ascii="Calibri" w:hAnsi="Calibri" w:cs="Calibri"/>
          <w:b/>
          <w:bCs/>
        </w:rPr>
        <w:t>Valeur ajoutée de l’inclusion</w:t>
      </w:r>
      <w:r w:rsidRPr="00F9059E">
        <w:rPr>
          <w:rFonts w:ascii="Calibri" w:hAnsi="Calibri" w:cs="Calibri"/>
        </w:rPr>
        <w:t> : L’implication des femmes, des jeunes, des OSC et du secteur privé renforce la pertinence et la durabilité des actions.</w:t>
      </w:r>
    </w:p>
    <w:p w14:paraId="6E98C428" w14:textId="77777777" w:rsidR="00F9059E" w:rsidRPr="00F9059E" w:rsidRDefault="00F9059E" w:rsidP="00F9059E">
      <w:pPr>
        <w:numPr>
          <w:ilvl w:val="0"/>
          <w:numId w:val="11"/>
        </w:numPr>
        <w:rPr>
          <w:rFonts w:ascii="Calibri" w:hAnsi="Calibri" w:cs="Calibri"/>
        </w:rPr>
      </w:pPr>
      <w:r w:rsidRPr="00F9059E">
        <w:rPr>
          <w:rFonts w:ascii="Calibri" w:hAnsi="Calibri" w:cs="Calibri"/>
          <w:b/>
          <w:bCs/>
        </w:rPr>
        <w:t>Transparence et redevabilité</w:t>
      </w:r>
      <w:r w:rsidRPr="00F9059E">
        <w:rPr>
          <w:rFonts w:ascii="Calibri" w:hAnsi="Calibri" w:cs="Calibri"/>
        </w:rPr>
        <w:t> : Un suivi-évaluation rigoureux, associé à un rapportage financier et technique régulier, est essentiel pour la confiance des partenaires et la mobilisation de nouveaux financements.</w:t>
      </w:r>
    </w:p>
    <w:p w14:paraId="75AA2611" w14:textId="77777777" w:rsidR="00F9059E" w:rsidRPr="00F9059E" w:rsidRDefault="00F9059E" w:rsidP="00F9059E">
      <w:pPr>
        <w:numPr>
          <w:ilvl w:val="0"/>
          <w:numId w:val="11"/>
        </w:numPr>
        <w:rPr>
          <w:rFonts w:ascii="Calibri" w:hAnsi="Calibri" w:cs="Calibri"/>
        </w:rPr>
      </w:pPr>
      <w:r w:rsidRPr="00F9059E">
        <w:rPr>
          <w:rFonts w:ascii="Calibri" w:hAnsi="Calibri" w:cs="Calibri"/>
          <w:b/>
          <w:bCs/>
        </w:rPr>
        <w:t>Capitalisation et diffusion</w:t>
      </w:r>
      <w:r w:rsidRPr="00F9059E">
        <w:rPr>
          <w:rFonts w:ascii="Calibri" w:hAnsi="Calibri" w:cs="Calibri"/>
        </w:rPr>
        <w:t> : La documentation et la diffusion des bonnes pratiques, ainsi que la formalisation des équipes projet, sont des leviers clés pour la pérennisation des acquis et l’essaimage à d’autres secteurs ou régions.</w:t>
      </w:r>
    </w:p>
    <w:p w14:paraId="19B906C8" w14:textId="77777777" w:rsidR="00F9059E" w:rsidRPr="00F9059E" w:rsidRDefault="00F9059E" w:rsidP="00F9059E">
      <w:pPr>
        <w:rPr>
          <w:rFonts w:ascii="Calibri" w:hAnsi="Calibri" w:cs="Calibri"/>
          <w:b/>
          <w:bCs/>
        </w:rPr>
      </w:pPr>
      <w:r w:rsidRPr="00F9059E">
        <w:rPr>
          <w:rFonts w:ascii="Calibri" w:hAnsi="Calibri" w:cs="Calibri"/>
          <w:b/>
          <w:bCs/>
        </w:rPr>
        <w:t>Conclusion</w:t>
      </w:r>
    </w:p>
    <w:p w14:paraId="6A45DAA7" w14:textId="77777777" w:rsidR="00F9059E" w:rsidRPr="00F9059E" w:rsidRDefault="00F9059E" w:rsidP="00F9059E">
      <w:pPr>
        <w:rPr>
          <w:rFonts w:ascii="Calibri" w:hAnsi="Calibri" w:cs="Calibri"/>
        </w:rPr>
      </w:pPr>
      <w:r w:rsidRPr="00F9059E">
        <w:rPr>
          <w:rFonts w:ascii="Calibri" w:hAnsi="Calibri" w:cs="Calibri"/>
        </w:rPr>
        <w:t>L’appui du PNUD au Niger pour la mise en œuvre des Accords Multilatéraux sur l’Environnement et la CDN révisée a permis de renforcer la gouvernance climatique, la planification bas carbone, la transparence et l’adaptation. Les outils nationaux et régionaux sont consolidés, les parties prenantes sont formées et impliquées, et la résilience locale est renforcée. La formalisation de l’équipe projet AEM et la poursuite de la mobilisation des ressources sont essentielles pour pérenniser les acquis et atteindre les objectifs de développement durable et de neutralité carbone.</w:t>
      </w:r>
    </w:p>
    <w:sectPr w:rsidR="00F9059E" w:rsidRPr="00F9059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7BD1" w14:textId="77777777" w:rsidR="000C2023" w:rsidRDefault="000C2023" w:rsidP="004C6DE8">
      <w:pPr>
        <w:spacing w:after="0" w:line="240" w:lineRule="auto"/>
      </w:pPr>
      <w:r>
        <w:separator/>
      </w:r>
    </w:p>
  </w:endnote>
  <w:endnote w:type="continuationSeparator" w:id="0">
    <w:p w14:paraId="3533197E" w14:textId="77777777" w:rsidR="000C2023" w:rsidRDefault="000C2023" w:rsidP="004C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523209"/>
      <w:docPartObj>
        <w:docPartGallery w:val="Page Numbers (Bottom of Page)"/>
        <w:docPartUnique/>
      </w:docPartObj>
    </w:sdtPr>
    <w:sdtContent>
      <w:p w14:paraId="47BCA6BD" w14:textId="164145B0" w:rsidR="004C6DE8" w:rsidRDefault="004C6DE8">
        <w:pPr>
          <w:pStyle w:val="Pieddepage"/>
        </w:pPr>
        <w:r>
          <w:rPr>
            <w:noProof/>
          </w:rPr>
          <mc:AlternateContent>
            <mc:Choice Requires="wps">
              <w:drawing>
                <wp:anchor distT="0" distB="0" distL="114300" distR="114300" simplePos="0" relativeHeight="251659264" behindDoc="0" locked="0" layoutInCell="0" allowOverlap="1" wp14:anchorId="65F75127" wp14:editId="2B721D25">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950481089"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BF13466" w14:textId="77777777" w:rsidR="004C6DE8" w:rsidRDefault="004C6DE8">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F7512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5BF13466" w14:textId="77777777" w:rsidR="004C6DE8" w:rsidRDefault="004C6DE8">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FFFE" w14:textId="77777777" w:rsidR="000C2023" w:rsidRDefault="000C2023" w:rsidP="004C6DE8">
      <w:pPr>
        <w:spacing w:after="0" w:line="240" w:lineRule="auto"/>
      </w:pPr>
      <w:r>
        <w:separator/>
      </w:r>
    </w:p>
  </w:footnote>
  <w:footnote w:type="continuationSeparator" w:id="0">
    <w:p w14:paraId="7664135F" w14:textId="77777777" w:rsidR="000C2023" w:rsidRDefault="000C2023" w:rsidP="004C6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361"/>
    <w:multiLevelType w:val="multilevel"/>
    <w:tmpl w:val="79A4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A1BAB"/>
    <w:multiLevelType w:val="multilevel"/>
    <w:tmpl w:val="489CF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112E4"/>
    <w:multiLevelType w:val="multilevel"/>
    <w:tmpl w:val="CC50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A4342"/>
    <w:multiLevelType w:val="multilevel"/>
    <w:tmpl w:val="1C30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C448A"/>
    <w:multiLevelType w:val="multilevel"/>
    <w:tmpl w:val="5E74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877E88"/>
    <w:multiLevelType w:val="multilevel"/>
    <w:tmpl w:val="D66A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9E7995"/>
    <w:multiLevelType w:val="multilevel"/>
    <w:tmpl w:val="3876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F5614"/>
    <w:multiLevelType w:val="multilevel"/>
    <w:tmpl w:val="1E0A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4E7B2F"/>
    <w:multiLevelType w:val="multilevel"/>
    <w:tmpl w:val="F82E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C226D6"/>
    <w:multiLevelType w:val="multilevel"/>
    <w:tmpl w:val="15CC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B3967"/>
    <w:multiLevelType w:val="multilevel"/>
    <w:tmpl w:val="CECE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B577A0"/>
    <w:multiLevelType w:val="multilevel"/>
    <w:tmpl w:val="27EE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D56A50"/>
    <w:multiLevelType w:val="multilevel"/>
    <w:tmpl w:val="AEB03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790AF1"/>
    <w:multiLevelType w:val="multilevel"/>
    <w:tmpl w:val="E75AE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948479">
    <w:abstractNumId w:val="9"/>
  </w:num>
  <w:num w:numId="2" w16cid:durableId="593519075">
    <w:abstractNumId w:val="2"/>
  </w:num>
  <w:num w:numId="3" w16cid:durableId="680820719">
    <w:abstractNumId w:val="13"/>
  </w:num>
  <w:num w:numId="4" w16cid:durableId="763846776">
    <w:abstractNumId w:val="4"/>
  </w:num>
  <w:num w:numId="5" w16cid:durableId="839659197">
    <w:abstractNumId w:val="3"/>
  </w:num>
  <w:num w:numId="6" w16cid:durableId="776028656">
    <w:abstractNumId w:val="5"/>
  </w:num>
  <w:num w:numId="7" w16cid:durableId="702681291">
    <w:abstractNumId w:val="8"/>
  </w:num>
  <w:num w:numId="8" w16cid:durableId="84499663">
    <w:abstractNumId w:val="10"/>
  </w:num>
  <w:num w:numId="9" w16cid:durableId="171846201">
    <w:abstractNumId w:val="7"/>
  </w:num>
  <w:num w:numId="10" w16cid:durableId="796795248">
    <w:abstractNumId w:val="0"/>
  </w:num>
  <w:num w:numId="11" w16cid:durableId="1893426041">
    <w:abstractNumId w:val="11"/>
  </w:num>
  <w:num w:numId="12" w16cid:durableId="872575068">
    <w:abstractNumId w:val="12"/>
  </w:num>
  <w:num w:numId="13" w16cid:durableId="891119035">
    <w:abstractNumId w:val="6"/>
  </w:num>
  <w:num w:numId="14" w16cid:durableId="1990014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59E"/>
    <w:rsid w:val="000235C8"/>
    <w:rsid w:val="000C2023"/>
    <w:rsid w:val="002766AA"/>
    <w:rsid w:val="004C6DE8"/>
    <w:rsid w:val="008D192F"/>
    <w:rsid w:val="008F0701"/>
    <w:rsid w:val="00C4047C"/>
    <w:rsid w:val="00E879AC"/>
    <w:rsid w:val="00F10AB9"/>
    <w:rsid w:val="00F9059E"/>
    <w:rsid w:val="00FE61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75EE55"/>
  <w15:chartTrackingRefBased/>
  <w15:docId w15:val="{4FBEA21B-BD08-45BD-B913-8D1C9E6E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90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90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9059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9059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9059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9059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9059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9059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9059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9059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9059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9059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9059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9059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9059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9059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9059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9059E"/>
    <w:rPr>
      <w:rFonts w:eastAsiaTheme="majorEastAsia" w:cstheme="majorBidi"/>
      <w:color w:val="272727" w:themeColor="text1" w:themeTint="D8"/>
    </w:rPr>
  </w:style>
  <w:style w:type="paragraph" w:styleId="Titre">
    <w:name w:val="Title"/>
    <w:basedOn w:val="Normal"/>
    <w:next w:val="Normal"/>
    <w:link w:val="TitreCar"/>
    <w:uiPriority w:val="10"/>
    <w:qFormat/>
    <w:rsid w:val="00F905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9059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9059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9059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9059E"/>
    <w:pPr>
      <w:spacing w:before="160"/>
      <w:jc w:val="center"/>
    </w:pPr>
    <w:rPr>
      <w:i/>
      <w:iCs/>
      <w:color w:val="404040" w:themeColor="text1" w:themeTint="BF"/>
    </w:rPr>
  </w:style>
  <w:style w:type="character" w:customStyle="1" w:styleId="CitationCar">
    <w:name w:val="Citation Car"/>
    <w:basedOn w:val="Policepardfaut"/>
    <w:link w:val="Citation"/>
    <w:uiPriority w:val="29"/>
    <w:rsid w:val="00F9059E"/>
    <w:rPr>
      <w:i/>
      <w:iCs/>
      <w:color w:val="404040" w:themeColor="text1" w:themeTint="BF"/>
    </w:rPr>
  </w:style>
  <w:style w:type="paragraph" w:styleId="Paragraphedeliste">
    <w:name w:val="List Paragraph"/>
    <w:basedOn w:val="Normal"/>
    <w:uiPriority w:val="34"/>
    <w:qFormat/>
    <w:rsid w:val="00F9059E"/>
    <w:pPr>
      <w:ind w:left="720"/>
      <w:contextualSpacing/>
    </w:pPr>
  </w:style>
  <w:style w:type="character" w:styleId="Accentuationintense">
    <w:name w:val="Intense Emphasis"/>
    <w:basedOn w:val="Policepardfaut"/>
    <w:uiPriority w:val="21"/>
    <w:qFormat/>
    <w:rsid w:val="00F9059E"/>
    <w:rPr>
      <w:i/>
      <w:iCs/>
      <w:color w:val="0F4761" w:themeColor="accent1" w:themeShade="BF"/>
    </w:rPr>
  </w:style>
  <w:style w:type="paragraph" w:styleId="Citationintense">
    <w:name w:val="Intense Quote"/>
    <w:basedOn w:val="Normal"/>
    <w:next w:val="Normal"/>
    <w:link w:val="CitationintenseCar"/>
    <w:uiPriority w:val="30"/>
    <w:qFormat/>
    <w:rsid w:val="00F90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9059E"/>
    <w:rPr>
      <w:i/>
      <w:iCs/>
      <w:color w:val="0F4761" w:themeColor="accent1" w:themeShade="BF"/>
    </w:rPr>
  </w:style>
  <w:style w:type="character" w:styleId="Rfrenceintense">
    <w:name w:val="Intense Reference"/>
    <w:basedOn w:val="Policepardfaut"/>
    <w:uiPriority w:val="32"/>
    <w:qFormat/>
    <w:rsid w:val="00F9059E"/>
    <w:rPr>
      <w:b/>
      <w:bCs/>
      <w:smallCaps/>
      <w:color w:val="0F4761" w:themeColor="accent1" w:themeShade="BF"/>
      <w:spacing w:val="5"/>
    </w:rPr>
  </w:style>
  <w:style w:type="table" w:styleId="Grilledutableau">
    <w:name w:val="Table Grid"/>
    <w:basedOn w:val="TableauNormal"/>
    <w:uiPriority w:val="39"/>
    <w:rsid w:val="00C40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C6DE8"/>
    <w:pPr>
      <w:tabs>
        <w:tab w:val="center" w:pos="4536"/>
        <w:tab w:val="right" w:pos="9072"/>
      </w:tabs>
      <w:spacing w:after="0" w:line="240" w:lineRule="auto"/>
    </w:pPr>
  </w:style>
  <w:style w:type="character" w:customStyle="1" w:styleId="En-tteCar">
    <w:name w:val="En-tête Car"/>
    <w:basedOn w:val="Policepardfaut"/>
    <w:link w:val="En-tte"/>
    <w:uiPriority w:val="99"/>
    <w:rsid w:val="004C6DE8"/>
  </w:style>
  <w:style w:type="paragraph" w:styleId="Pieddepage">
    <w:name w:val="footer"/>
    <w:basedOn w:val="Normal"/>
    <w:link w:val="PieddepageCar"/>
    <w:uiPriority w:val="99"/>
    <w:unhideWhenUsed/>
    <w:rsid w:val="004C6D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6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B0362 - Niger - Niamey</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final Projet AEM</FileNameDescription>
    <ProjectNumber xmlns="d9cf0e28-81d2-4dc7-8b10-820d80ed680d">00125401</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UNDP-NER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2020-01-01T05:00:00+00:00</DocCoverageStartDate>
    <FileClassificationMode xmlns="d9cf0e28-81d2-4dc7-8b10-820d80ed680d">Public</FileClassificationMode>
    <OutputNumber xmlns="d9cf0e28-81d2-4dc7-8b10-820d80ed680d">00119779</OutputNumber>
  </documentManagement>
</p:properties>
</file>

<file path=customXml/itemProps1.xml><?xml version="1.0" encoding="utf-8"?>
<ds:datastoreItem xmlns:ds="http://schemas.openxmlformats.org/officeDocument/2006/customXml" ds:itemID="{8C581F9E-B547-4652-810D-D06FF60086E3}"/>
</file>

<file path=customXml/itemProps2.xml><?xml version="1.0" encoding="utf-8"?>
<ds:datastoreItem xmlns:ds="http://schemas.openxmlformats.org/officeDocument/2006/customXml" ds:itemID="{5088104E-70F8-422F-B4C7-359175265C4F}"/>
</file>

<file path=customXml/itemProps3.xml><?xml version="1.0" encoding="utf-8"?>
<ds:datastoreItem xmlns:ds="http://schemas.openxmlformats.org/officeDocument/2006/customXml" ds:itemID="{B7C191B4-5EC3-4C39-B678-447557E6D706}"/>
</file>

<file path=docProps/app.xml><?xml version="1.0" encoding="utf-8"?>
<Properties xmlns="http://schemas.openxmlformats.org/officeDocument/2006/extended-properties" xmlns:vt="http://schemas.openxmlformats.org/officeDocument/2006/docPropsVTypes">
  <Template>Normal</Template>
  <TotalTime>15</TotalTime>
  <Pages>4</Pages>
  <Words>1154</Words>
  <Characters>6255</Characters>
  <Application>Microsoft Office Word</Application>
  <DocSecurity>0</DocSecurity>
  <Lines>347</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Projet AEM</dc:title>
  <dc:subject/>
  <dc:creator>Mahamane Lawali Elhadj Mahamane</dc:creator>
  <cp:keywords/>
  <dc:description/>
  <cp:lastModifiedBy>Mahamane Lawali Elhadj Mahamane</cp:lastModifiedBy>
  <cp:revision>8</cp:revision>
  <dcterms:created xsi:type="dcterms:W3CDTF">2026-01-09T10:59:00Z</dcterms:created>
  <dcterms:modified xsi:type="dcterms:W3CDTF">2026-01-09T11:22:00Z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